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Čápkova 48, byt č. 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931/4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NP;   </w:t>
      </w:r>
      <w:r>
        <w:rPr>
          <w:b/>
          <w:sz w:val="22"/>
          <w:szCs w:val="22"/>
        </w:rPr>
        <w:t>Velikost:</w:t>
      </w:r>
      <w:r>
        <w:t xml:space="preserve"> 1+kk (2+kk);   </w:t>
      </w:r>
      <w:r>
        <w:rPr>
          <w:b/>
          <w:sz w:val="22"/>
          <w:szCs w:val="22"/>
        </w:rPr>
        <w:t>Plocha bytu:</w:t>
      </w:r>
      <w:r>
        <w:t xml:space="preserve"> cca 33 m</w:t>
      </w:r>
      <w:r>
        <w:rPr>
          <w:vertAlign w:val="superscript"/>
        </w:rPr>
        <w:t>2</w:t>
      </w:r>
      <w:r>
        <w:t xml:space="preserve"> (59</w:t>
      </w:r>
      <w:r>
        <w:t xml:space="preserve"> m</w:t>
      </w:r>
      <w:r>
        <w:rPr>
          <w:vertAlign w:val="superscript"/>
        </w:rPr>
        <w:t>2</w:t>
      </w:r>
      <w:r>
        <w:t>)</w:t>
      </w:r>
      <w:bookmarkStart w:id="0" w:name="_GoBack"/>
      <w:bookmarkEnd w:id="0"/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Dispozici bytu řešit společně s bytem č. 1 a zvážit připojení místnosti bytu č. 1, ve které by v její části bylo možno vybudovat koupelnu.</w:t>
      </w:r>
      <w:r>
        <w:t xml:space="preserve">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  <w:r>
        <w:t xml:space="preserve"> Případně prověřit možnost přemístění do nově vybudované koupelny.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B44C7-30A2-4F49-A0C2-595C647C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1655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2020-12-09T11:21:00Z</dcterms:created>
  <dcterms:modified xsi:type="dcterms:W3CDTF">2020-12-09T11:23:00Z</dcterms:modified>
</cp:coreProperties>
</file>